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1F4E79"/>
          <w:sz w:val="36"/>
        </w:rPr>
        <w:t>Teacher Observation Checklist - Moons of the Land</w:t>
      </w:r>
    </w:p>
    <w:p>
      <w:pPr>
        <w:spacing w:after="200" w:before="0"/>
        <w:jc w:val="center"/>
      </w:pPr>
      <w:r>
        <w:rPr>
          <w:b w:val="0"/>
          <w:i/>
          <w:sz w:val="21"/>
        </w:rPr>
        <w:t>Grade 5/6 Arts Education  -  Moons of the Land</w:t>
      </w:r>
    </w:p>
    <w:p>
      <w:pPr>
        <w:spacing w:after="160" w:before="0"/>
      </w:pPr>
      <w:r>
        <w:rPr>
          <w:b w:val="0"/>
          <w:i/>
          <w:color w:val="666666"/>
          <w:sz w:val="20"/>
        </w:rPr>
        <w:t>Formative, anecdotal evidence across the five periods. Key: + strong, / developing, - needs support.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11"/>
        <w:gridCol w:w="1411"/>
        <w:gridCol w:w="1411"/>
        <w:gridCol w:w="1411"/>
        <w:gridCol w:w="1411"/>
        <w:gridCol w:w="1411"/>
        <w:gridCol w:w="1411"/>
        <w:gridCol w:w="1411"/>
        <w:gridCol w:w="1411"/>
        <w:gridCol w:w="1411"/>
      </w:tblGrid>
      <w:tr>
        <w:tc>
          <w:tcPr>
            <w:tcW w:type="dxa" w:w="432"/>
            <w:shd w:val="clear" w:color="auto" w:fill="EAF0F6"/>
            <w:vAlign w:val="top"/>
          </w:tcPr>
          <w:p>
            <w:pPr>
              <w:jc w:val="center"/>
            </w:pPr>
            <w:r/>
            <w:r>
              <w:rPr>
                <w:b/>
                <w:color w:val="1F4E79"/>
                <w:sz w:val="17"/>
              </w:rPr>
              <w:t>#</w:t>
            </w:r>
          </w:p>
        </w:tc>
        <w:tc>
          <w:tcPr>
            <w:tcW w:type="dxa" w:w="2448"/>
            <w:shd w:val="clear" w:color="auto" w:fill="EAF0F6"/>
            <w:vAlign w:val="top"/>
          </w:tcPr>
          <w:p>
            <w:pPr>
              <w:jc w:val="center"/>
            </w:pPr>
            <w:r/>
            <w:r>
              <w:rPr>
                <w:b/>
                <w:color w:val="1F4E79"/>
                <w:sz w:val="17"/>
              </w:rPr>
              <w:t>Student</w:t>
            </w:r>
          </w:p>
        </w:tc>
        <w:tc>
          <w:tcPr>
            <w:tcW w:type="dxa" w:w="1296"/>
            <w:shd w:val="clear" w:color="auto" w:fill="EAF0F6"/>
            <w:vAlign w:val="top"/>
          </w:tcPr>
          <w:p>
            <w:pPr>
              <w:jc w:val="center"/>
            </w:pPr>
            <w:r/>
            <w:r>
              <w:rPr>
                <w:b/>
                <w:color w:val="1F4E79"/>
                <w:sz w:val="17"/>
              </w:rPr>
              <w:t>Engages respectfully with First Peoples knowledge</w:t>
            </w:r>
          </w:p>
        </w:tc>
        <w:tc>
          <w:tcPr>
            <w:tcW w:type="dxa" w:w="1296"/>
            <w:shd w:val="clear" w:color="auto" w:fill="EAF0F6"/>
            <w:vAlign w:val="top"/>
          </w:tcPr>
          <w:p>
            <w:pPr>
              <w:jc w:val="center"/>
            </w:pPr>
            <w:r/>
            <w:r>
              <w:rPr>
                <w:b/>
                <w:color w:val="1F4E79"/>
                <w:sz w:val="17"/>
              </w:rPr>
              <w:t>Uses washes and wet-on-wet</w:t>
            </w:r>
          </w:p>
        </w:tc>
        <w:tc>
          <w:tcPr>
            <w:tcW w:type="dxa" w:w="1296"/>
            <w:shd w:val="clear" w:color="auto" w:fill="EAF0F6"/>
            <w:vAlign w:val="top"/>
          </w:tcPr>
          <w:p>
            <w:pPr>
              <w:jc w:val="center"/>
            </w:pPr>
            <w:r/>
            <w:r>
              <w:rPr>
                <w:b/>
                <w:color w:val="1F4E79"/>
                <w:sz w:val="17"/>
              </w:rPr>
              <w:t>Uses layering and lifting</w:t>
            </w:r>
          </w:p>
        </w:tc>
        <w:tc>
          <w:tcPr>
            <w:tcW w:type="dxa" w:w="1296"/>
            <w:shd w:val="clear" w:color="auto" w:fill="EAF0F6"/>
            <w:vAlign w:val="top"/>
          </w:tcPr>
          <w:p>
            <w:pPr>
              <w:jc w:val="center"/>
            </w:pPr>
            <w:r/>
            <w:r>
              <w:rPr>
                <w:b/>
                <w:color w:val="1F4E79"/>
                <w:sz w:val="17"/>
              </w:rPr>
              <w:t>Controls colour and value</w:t>
            </w:r>
          </w:p>
        </w:tc>
        <w:tc>
          <w:tcPr>
            <w:tcW w:type="dxa" w:w="1296"/>
            <w:shd w:val="clear" w:color="auto" w:fill="EAF0F6"/>
            <w:vAlign w:val="top"/>
          </w:tcPr>
          <w:p>
            <w:pPr>
              <w:jc w:val="center"/>
            </w:pPr>
            <w:r/>
            <w:r>
              <w:rPr>
                <w:b/>
                <w:color w:val="1F4E79"/>
                <w:sz w:val="17"/>
              </w:rPr>
              <w:t>Panels work as a series</w:t>
            </w:r>
          </w:p>
        </w:tc>
        <w:tc>
          <w:tcPr>
            <w:tcW w:type="dxa" w:w="1296"/>
            <w:shd w:val="clear" w:color="auto" w:fill="EAF0F6"/>
            <w:vAlign w:val="top"/>
          </w:tcPr>
          <w:p>
            <w:pPr>
              <w:jc w:val="center"/>
            </w:pPr>
            <w:r/>
            <w:r>
              <w:rPr>
                <w:b/>
                <w:color w:val="1F4E79"/>
                <w:sz w:val="17"/>
              </w:rPr>
              <w:t>Completes artist statement</w:t>
            </w:r>
          </w:p>
        </w:tc>
        <w:tc>
          <w:tcPr>
            <w:tcW w:type="dxa" w:w="1296"/>
            <w:shd w:val="clear" w:color="auto" w:fill="EAF0F6"/>
            <w:vAlign w:val="top"/>
          </w:tcPr>
          <w:p>
            <w:pPr>
              <w:jc w:val="center"/>
            </w:pPr>
            <w:r/>
            <w:r>
              <w:rPr>
                <w:b/>
                <w:color w:val="1F4E79"/>
                <w:sz w:val="17"/>
              </w:rPr>
              <w:t>Works safely; gives respectful feedback</w:t>
            </w:r>
          </w:p>
        </w:tc>
        <w:tc>
          <w:tcPr>
            <w:tcW w:type="dxa" w:w="2016"/>
            <w:shd w:val="clear" w:color="auto" w:fill="EAF0F6"/>
            <w:vAlign w:val="top"/>
          </w:tcPr>
          <w:p>
            <w:pPr>
              <w:jc w:val="center"/>
            </w:pPr>
            <w:r/>
            <w:r>
              <w:rPr>
                <w:b/>
                <w:color w:val="1F4E79"/>
                <w:sz w:val="17"/>
              </w:rPr>
              <w:t>Notes</w:t>
            </w:r>
          </w:p>
        </w:tc>
      </w:tr>
      <w:tr>
        <w:tc>
          <w:tcPr>
            <w:tcW w:type="dxa" w:w="432"/>
            <w:vAlign w:val="top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2448"/>
            <w:vAlign w:val="top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432"/>
            <w:vAlign w:val="top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448"/>
            <w:vAlign w:val="top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432"/>
            <w:vAlign w:val="top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2448"/>
            <w:vAlign w:val="top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432"/>
            <w:vAlign w:val="top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2448"/>
            <w:vAlign w:val="top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432"/>
            <w:vAlign w:val="top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2448"/>
            <w:vAlign w:val="top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432"/>
            <w:vAlign w:val="top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2448"/>
            <w:vAlign w:val="top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432"/>
            <w:vAlign w:val="top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2448"/>
            <w:vAlign w:val="top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432"/>
            <w:vAlign w:val="top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2448"/>
            <w:vAlign w:val="top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432"/>
            <w:vAlign w:val="top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2448"/>
            <w:vAlign w:val="top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432"/>
            <w:vAlign w:val="top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2448"/>
            <w:vAlign w:val="top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432"/>
            <w:vAlign w:val="top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2448"/>
            <w:vAlign w:val="top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432"/>
            <w:vAlign w:val="top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2448"/>
            <w:vAlign w:val="top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2016"/>
          </w:tcPr>
          <w:p/>
        </w:tc>
      </w:tr>
    </w:tbl>
    <w:sectPr w:rsidR="00FC693F" w:rsidRPr="0006063C" w:rsidSect="00034616">
      <w:pgSz w:w="15840" w:h="12240"/>
      <w:pgMar w:top="792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